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2571750</wp:posOffset>
            </wp:positionH>
            <wp:positionV relativeFrom="paragraph">
              <wp:posOffset>36165</wp:posOffset>
            </wp:positionV>
            <wp:extent cx="1333500" cy="943610"/>
            <wp:effectExtent b="0" l="0" r="0" t="0"/>
            <wp:wrapTopAndBottom distB="0" dist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3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DESAFIO EDUCACIONAL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LISTA DE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3º ANO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771"/>
        <w:tblGridChange w:id="0">
          <w:tblGrid>
            <w:gridCol w:w="4889"/>
            <w:gridCol w:w="47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DIDÁTICO: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LIVROS: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brinquedo pedagógico novo (dama, xadrez, trilha, pega vareta, dominó de matemática)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ábaco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 de material dourado individual 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05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pares de olhos móveis (nº1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 ou 14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 de cola gliter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caneta para quadro branco (preta ou azul)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bloco de papel Filipinho 120 g/m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pincel para tinta n°14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tela pequena 18 x 24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pastas trilho  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06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placas de EVA (cores variadas)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metros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TNT (azul claro)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placa de isopor 100x50cm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papel cartão.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 folhas de color set (cores variadas)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papel crepom de cores variadas.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 de massinha 12 cores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tubo de cola branca. 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tubinhos de cola quente (grosso)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 folhas de sulfitão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Livro Didático: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Sistema Brincando 3º ano- Brincando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com as Palavras / Brincando com os Números / Brincando com Ciências / Brincando com História e Geografia /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 acordo com a BNCC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(comprar no site da editora) 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01 Minidicionário Aurélio (adequado para idade)   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 dicionário de inglês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Apostila de Inglês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0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MATERIAL DE HIGIENE: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nécessaire contendo: (pasta de dente, escova com protetor, toalha de mão e escova de cabelo ou pente) esses componentes deverão ser substituídos quando necessário.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garrafinha para água ( obrigatório)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04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caixas de lenço de papel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estojo completo p/ uso diário do aluno, contendo: lápis preto, borracha, apontador, lápis de cor, canetinha, régua e tesoura sem ponta (deverão ser substituídos quando necessários).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cadernos de capa dura (grande) formato 203 x 278 mm com 96 folhas 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336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caderno de desenho grande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kit régua escolar 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INTEGRAL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caderno de capa dura (grande) formato 203 x 278 mm com 96 folhas.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Z7Bh7Y02JW8cw94V00Q5efkgg==">CgMxLjA4AHIhMUJYc2RhWktWU3F0V3FUNmZtZGVPX3p2ektIN2ZxT1Zv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2006-11-21T12:17:00Z</dcterms:created>
  <dc:creator>escola</dc:creator>
</cp:coreProperties>
</file>